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01E3" w:rsidRPr="00AF3461" w:rsidRDefault="00F94384">
      <w:pPr>
        <w:jc w:val="both"/>
        <w:rPr>
          <w:sz w:val="22"/>
          <w:szCs w:val="22"/>
        </w:rPr>
      </w:pPr>
      <w:r w:rsidRPr="00AF3461">
        <w:rPr>
          <w:sz w:val="22"/>
          <w:szCs w:val="22"/>
        </w:rPr>
        <w:t>KLASA</w:t>
      </w:r>
      <w:r w:rsidR="002301E3" w:rsidRPr="00AF3461">
        <w:rPr>
          <w:sz w:val="22"/>
          <w:szCs w:val="22"/>
        </w:rPr>
        <w:t>: 320-02/1</w:t>
      </w:r>
      <w:r w:rsidR="003C7596" w:rsidRPr="00AF3461">
        <w:rPr>
          <w:sz w:val="22"/>
          <w:szCs w:val="22"/>
        </w:rPr>
        <w:t>7</w:t>
      </w:r>
      <w:r w:rsidRPr="00AF3461">
        <w:rPr>
          <w:sz w:val="22"/>
          <w:szCs w:val="22"/>
        </w:rPr>
        <w:t>-01/10</w:t>
      </w:r>
    </w:p>
    <w:p w:rsidR="002301E3" w:rsidRPr="00AF3461" w:rsidRDefault="00F94384">
      <w:pPr>
        <w:jc w:val="both"/>
        <w:rPr>
          <w:sz w:val="22"/>
          <w:szCs w:val="22"/>
        </w:rPr>
      </w:pPr>
      <w:r w:rsidRPr="00AF3461">
        <w:rPr>
          <w:sz w:val="22"/>
          <w:szCs w:val="22"/>
        </w:rPr>
        <w:t>URBROJ</w:t>
      </w:r>
      <w:r w:rsidR="002301E3" w:rsidRPr="00AF3461">
        <w:rPr>
          <w:sz w:val="22"/>
          <w:szCs w:val="22"/>
        </w:rPr>
        <w:t>: 2109/22-</w:t>
      </w:r>
      <w:r w:rsidR="003C7596" w:rsidRPr="00AF3461">
        <w:rPr>
          <w:sz w:val="22"/>
          <w:szCs w:val="22"/>
        </w:rPr>
        <w:t>10</w:t>
      </w:r>
      <w:r w:rsidR="002301E3" w:rsidRPr="00AF3461">
        <w:rPr>
          <w:sz w:val="22"/>
          <w:szCs w:val="22"/>
        </w:rPr>
        <w:t>-1</w:t>
      </w:r>
      <w:r w:rsidR="003C7596" w:rsidRPr="00AF3461">
        <w:rPr>
          <w:sz w:val="22"/>
          <w:szCs w:val="22"/>
        </w:rPr>
        <w:t>7</w:t>
      </w:r>
      <w:r w:rsidR="002301E3" w:rsidRPr="00AF3461">
        <w:rPr>
          <w:sz w:val="22"/>
          <w:szCs w:val="22"/>
        </w:rPr>
        <w:t>-1</w:t>
      </w:r>
    </w:p>
    <w:p w:rsidR="002301E3" w:rsidRPr="00AF3461" w:rsidRDefault="002301E3">
      <w:pPr>
        <w:jc w:val="both"/>
        <w:rPr>
          <w:sz w:val="22"/>
          <w:szCs w:val="22"/>
        </w:rPr>
      </w:pPr>
      <w:r w:rsidRPr="00AF3461">
        <w:rPr>
          <w:sz w:val="22"/>
          <w:szCs w:val="22"/>
        </w:rPr>
        <w:t xml:space="preserve">Orehovica, </w:t>
      </w:r>
      <w:r w:rsidR="00F94384" w:rsidRPr="00AF3461">
        <w:rPr>
          <w:sz w:val="22"/>
          <w:szCs w:val="22"/>
        </w:rPr>
        <w:t>28</w:t>
      </w:r>
      <w:r w:rsidR="00E24A2A" w:rsidRPr="00AF3461">
        <w:rPr>
          <w:sz w:val="22"/>
          <w:szCs w:val="22"/>
        </w:rPr>
        <w:t>.1</w:t>
      </w:r>
      <w:r w:rsidR="00726F89" w:rsidRPr="00AF3461">
        <w:rPr>
          <w:sz w:val="22"/>
          <w:szCs w:val="22"/>
        </w:rPr>
        <w:t>2</w:t>
      </w:r>
      <w:r w:rsidR="00E24A2A" w:rsidRPr="00AF3461">
        <w:rPr>
          <w:sz w:val="22"/>
          <w:szCs w:val="22"/>
        </w:rPr>
        <w:t>.201</w:t>
      </w:r>
      <w:r w:rsidR="003C7596" w:rsidRPr="00AF3461">
        <w:rPr>
          <w:sz w:val="22"/>
          <w:szCs w:val="22"/>
        </w:rPr>
        <w:t>7</w:t>
      </w:r>
      <w:r w:rsidR="00E24A2A" w:rsidRPr="00AF3461">
        <w:rPr>
          <w:sz w:val="22"/>
          <w:szCs w:val="22"/>
        </w:rPr>
        <w:t>. godine</w:t>
      </w:r>
    </w:p>
    <w:p w:rsidR="002301E3" w:rsidRPr="00AF3461" w:rsidRDefault="002301E3">
      <w:pPr>
        <w:jc w:val="both"/>
        <w:rPr>
          <w:sz w:val="22"/>
          <w:szCs w:val="22"/>
        </w:rPr>
      </w:pPr>
    </w:p>
    <w:p w:rsidR="002301E3" w:rsidRPr="00AF3461" w:rsidRDefault="002301E3">
      <w:pPr>
        <w:ind w:firstLine="708"/>
        <w:rPr>
          <w:sz w:val="22"/>
          <w:szCs w:val="22"/>
        </w:rPr>
      </w:pPr>
      <w:r w:rsidRPr="00AF3461">
        <w:rPr>
          <w:sz w:val="22"/>
          <w:szCs w:val="22"/>
        </w:rPr>
        <w:t xml:space="preserve">Na temelju članka 9. Odluke Općinskog vijeća Općine Orehovica o raspisivanju natječaja za davanje u zakup poljoprivrednog zemljišta u vlasništvu Općine Orehovica </w:t>
      </w:r>
      <w:r w:rsidR="00E24A2A" w:rsidRPr="00AF3461">
        <w:rPr>
          <w:sz w:val="22"/>
          <w:szCs w:val="22"/>
        </w:rPr>
        <w:t>(„Službeni glasnik Međimurske županije“ broj 16/13)</w:t>
      </w:r>
      <w:r w:rsidRPr="00AF3461">
        <w:rPr>
          <w:sz w:val="22"/>
          <w:szCs w:val="22"/>
        </w:rPr>
        <w:t xml:space="preserve">  te članka 33. Statuta Općine Orehovica (</w:t>
      </w:r>
      <w:r w:rsidR="00E24A2A" w:rsidRPr="00AF3461">
        <w:rPr>
          <w:sz w:val="22"/>
          <w:szCs w:val="22"/>
        </w:rPr>
        <w:t>„</w:t>
      </w:r>
      <w:r w:rsidRPr="00AF3461">
        <w:rPr>
          <w:sz w:val="22"/>
          <w:szCs w:val="22"/>
        </w:rPr>
        <w:t>Službe</w:t>
      </w:r>
      <w:r w:rsidR="00E24A2A" w:rsidRPr="00AF3461">
        <w:rPr>
          <w:sz w:val="22"/>
          <w:szCs w:val="22"/>
        </w:rPr>
        <w:t>ni glasnik Međimursk</w:t>
      </w:r>
      <w:bookmarkStart w:id="0" w:name="_GoBack"/>
      <w:bookmarkEnd w:id="0"/>
      <w:r w:rsidR="00E24A2A" w:rsidRPr="00AF3461">
        <w:rPr>
          <w:sz w:val="22"/>
          <w:szCs w:val="22"/>
        </w:rPr>
        <w:t xml:space="preserve">e županije“ broj </w:t>
      </w:r>
      <w:r w:rsidRPr="00AF3461">
        <w:rPr>
          <w:sz w:val="22"/>
          <w:szCs w:val="22"/>
        </w:rPr>
        <w:t>4/13), Općinski načelnik Općine Orehovica raspisuje</w:t>
      </w:r>
    </w:p>
    <w:p w:rsidR="002301E3" w:rsidRPr="00AF3461" w:rsidRDefault="002301E3">
      <w:pPr>
        <w:ind w:firstLine="708"/>
        <w:rPr>
          <w:sz w:val="22"/>
          <w:szCs w:val="22"/>
        </w:rPr>
      </w:pPr>
    </w:p>
    <w:p w:rsidR="002301E3" w:rsidRPr="00AF3461" w:rsidRDefault="002301E3">
      <w:pPr>
        <w:jc w:val="center"/>
        <w:rPr>
          <w:rStyle w:val="Strong"/>
          <w:sz w:val="22"/>
          <w:szCs w:val="22"/>
        </w:rPr>
      </w:pPr>
      <w:r w:rsidRPr="00AF3461">
        <w:rPr>
          <w:rStyle w:val="Strong"/>
          <w:sz w:val="22"/>
          <w:szCs w:val="22"/>
        </w:rPr>
        <w:t>N A T J E Č A J</w:t>
      </w:r>
    </w:p>
    <w:p w:rsidR="002301E3" w:rsidRPr="00AF3461" w:rsidRDefault="002301E3">
      <w:pPr>
        <w:jc w:val="center"/>
        <w:rPr>
          <w:rStyle w:val="Strong"/>
          <w:color w:val="000000"/>
          <w:sz w:val="22"/>
          <w:szCs w:val="22"/>
        </w:rPr>
      </w:pPr>
      <w:r w:rsidRPr="00AF3461">
        <w:rPr>
          <w:rStyle w:val="Strong"/>
          <w:sz w:val="22"/>
          <w:szCs w:val="22"/>
        </w:rPr>
        <w:t xml:space="preserve">za </w:t>
      </w:r>
      <w:r w:rsidRPr="00AF3461">
        <w:rPr>
          <w:rStyle w:val="Strong"/>
          <w:color w:val="000000"/>
          <w:sz w:val="22"/>
          <w:szCs w:val="22"/>
        </w:rPr>
        <w:t>zakup poljoprivrednog zemljišta u vlasništv</w:t>
      </w:r>
      <w:r w:rsidR="00E24A2A" w:rsidRPr="00AF3461">
        <w:rPr>
          <w:rStyle w:val="Strong"/>
          <w:color w:val="000000"/>
          <w:sz w:val="22"/>
          <w:szCs w:val="22"/>
        </w:rPr>
        <w:t>u Općine Orehovica na području O</w:t>
      </w:r>
      <w:r w:rsidRPr="00AF3461">
        <w:rPr>
          <w:rStyle w:val="Strong"/>
          <w:color w:val="000000"/>
          <w:sz w:val="22"/>
          <w:szCs w:val="22"/>
        </w:rPr>
        <w:t>pćine Orehovica</w:t>
      </w:r>
    </w:p>
    <w:p w:rsidR="002301E3" w:rsidRPr="00AF3461" w:rsidRDefault="002301E3">
      <w:pPr>
        <w:jc w:val="both"/>
        <w:rPr>
          <w:b/>
          <w:sz w:val="22"/>
          <w:szCs w:val="22"/>
        </w:rPr>
      </w:pPr>
      <w:r w:rsidRPr="00AF3461">
        <w:rPr>
          <w:sz w:val="22"/>
          <w:szCs w:val="22"/>
        </w:rPr>
        <w:br/>
      </w:r>
      <w:r w:rsidRPr="00AF3461">
        <w:rPr>
          <w:b/>
          <w:sz w:val="22"/>
          <w:szCs w:val="22"/>
        </w:rPr>
        <w:t>I. PREDMET NATJEČAJA:</w:t>
      </w:r>
    </w:p>
    <w:p w:rsidR="002301E3" w:rsidRPr="00AF3461" w:rsidRDefault="002301E3">
      <w:pPr>
        <w:rPr>
          <w:b/>
          <w:bCs/>
          <w:sz w:val="22"/>
          <w:szCs w:val="22"/>
          <w:u w:val="single"/>
        </w:rPr>
      </w:pPr>
      <w:r w:rsidRPr="00AF3461">
        <w:rPr>
          <w:b/>
          <w:bCs/>
          <w:sz w:val="22"/>
          <w:szCs w:val="22"/>
          <w:u w:val="single"/>
        </w:rPr>
        <w:t>k.o. Orehovica:</w:t>
      </w:r>
    </w:p>
    <w:p w:rsidR="002301E3" w:rsidRPr="00AF3461" w:rsidRDefault="002301E3">
      <w:pPr>
        <w:rPr>
          <w:b/>
          <w:bCs/>
          <w:sz w:val="22"/>
          <w:szCs w:val="22"/>
          <w:u w:val="single"/>
        </w:rPr>
      </w:pPr>
    </w:p>
    <w:p w:rsidR="002301E3" w:rsidRPr="00AF3461" w:rsidRDefault="002301E3">
      <w:pPr>
        <w:rPr>
          <w:sz w:val="22"/>
          <w:szCs w:val="22"/>
        </w:rPr>
      </w:pPr>
    </w:p>
    <w:tbl>
      <w:tblPr>
        <w:tblW w:w="0" w:type="auto"/>
        <w:tblInd w:w="-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522"/>
        <w:gridCol w:w="2238"/>
        <w:gridCol w:w="1635"/>
        <w:gridCol w:w="540"/>
        <w:gridCol w:w="840"/>
        <w:gridCol w:w="2235"/>
        <w:gridCol w:w="1820"/>
      </w:tblGrid>
      <w:tr w:rsidR="002301E3" w:rsidRPr="00AF3461" w:rsidTr="001618A4">
        <w:tc>
          <w:tcPr>
            <w:tcW w:w="522" w:type="dxa"/>
            <w:shd w:val="clear" w:color="auto" w:fill="CCCCCC"/>
            <w:vAlign w:val="center"/>
          </w:tcPr>
          <w:p w:rsidR="002301E3" w:rsidRPr="00AF3461" w:rsidRDefault="002301E3">
            <w:pPr>
              <w:pStyle w:val="Sadrajitablice"/>
              <w:snapToGrid w:val="0"/>
              <w:jc w:val="center"/>
              <w:rPr>
                <w:rFonts w:eastAsia="Calibri" w:cs="Times New Roman"/>
                <w:b/>
                <w:bCs/>
                <w:sz w:val="22"/>
                <w:szCs w:val="22"/>
              </w:rPr>
            </w:pPr>
            <w:r w:rsidRPr="00AF3461">
              <w:rPr>
                <w:rFonts w:eastAsia="Calibri" w:cs="Times New Roman"/>
                <w:b/>
                <w:bCs/>
                <w:sz w:val="22"/>
                <w:szCs w:val="22"/>
              </w:rPr>
              <w:t>Br.</w:t>
            </w:r>
          </w:p>
        </w:tc>
        <w:tc>
          <w:tcPr>
            <w:tcW w:w="2238" w:type="dxa"/>
            <w:shd w:val="clear" w:color="auto" w:fill="CCCCCC"/>
            <w:vAlign w:val="center"/>
          </w:tcPr>
          <w:p w:rsidR="002301E3" w:rsidRPr="00AF3461" w:rsidRDefault="002301E3">
            <w:pPr>
              <w:pStyle w:val="Sadrajitablice"/>
              <w:snapToGrid w:val="0"/>
              <w:jc w:val="center"/>
              <w:rPr>
                <w:rFonts w:eastAsia="Calibri" w:cs="Times New Roman"/>
                <w:b/>
                <w:bCs/>
                <w:sz w:val="22"/>
                <w:szCs w:val="22"/>
              </w:rPr>
            </w:pPr>
            <w:r w:rsidRPr="00AF3461">
              <w:rPr>
                <w:rFonts w:eastAsia="Calibri" w:cs="Times New Roman"/>
                <w:b/>
                <w:bCs/>
                <w:sz w:val="22"/>
                <w:szCs w:val="22"/>
              </w:rPr>
              <w:t>Katastarska čestica br.</w:t>
            </w:r>
          </w:p>
        </w:tc>
        <w:tc>
          <w:tcPr>
            <w:tcW w:w="1635" w:type="dxa"/>
            <w:shd w:val="clear" w:color="auto" w:fill="CCCCCC"/>
            <w:vAlign w:val="center"/>
          </w:tcPr>
          <w:p w:rsidR="002301E3" w:rsidRPr="00AF3461" w:rsidRDefault="002301E3">
            <w:pPr>
              <w:pStyle w:val="Sadrajitablice"/>
              <w:snapToGrid w:val="0"/>
              <w:jc w:val="center"/>
              <w:rPr>
                <w:rFonts w:eastAsia="Calibri" w:cs="Times New Roman"/>
                <w:b/>
                <w:bCs/>
                <w:sz w:val="22"/>
                <w:szCs w:val="22"/>
              </w:rPr>
            </w:pPr>
            <w:r w:rsidRPr="00AF3461">
              <w:rPr>
                <w:rFonts w:eastAsia="Calibri" w:cs="Times New Roman"/>
                <w:b/>
                <w:bCs/>
                <w:sz w:val="22"/>
                <w:szCs w:val="22"/>
              </w:rPr>
              <w:t>Površina (m</w:t>
            </w:r>
            <w:r w:rsidRPr="00AF3461">
              <w:rPr>
                <w:rFonts w:eastAsia="Calibri" w:cs="Times New Roman"/>
                <w:b/>
                <w:bCs/>
                <w:sz w:val="22"/>
                <w:szCs w:val="22"/>
                <w:vertAlign w:val="superscript"/>
              </w:rPr>
              <w:t>2</w:t>
            </w:r>
            <w:r w:rsidRPr="00AF3461">
              <w:rPr>
                <w:rFonts w:eastAsia="Calibri" w:cs="Times New Roman"/>
                <w:b/>
                <w:bCs/>
                <w:sz w:val="22"/>
                <w:szCs w:val="22"/>
              </w:rPr>
              <w:t>)</w:t>
            </w:r>
          </w:p>
        </w:tc>
        <w:tc>
          <w:tcPr>
            <w:tcW w:w="540" w:type="dxa"/>
            <w:vMerge w:val="restart"/>
            <w:shd w:val="clear" w:color="auto" w:fill="CCCCCC"/>
            <w:vAlign w:val="center"/>
          </w:tcPr>
          <w:p w:rsidR="002301E3" w:rsidRPr="00AF3461" w:rsidRDefault="002301E3">
            <w:pPr>
              <w:pStyle w:val="Sadrajitablice"/>
              <w:snapToGrid w:val="0"/>
              <w:jc w:val="center"/>
              <w:rPr>
                <w:rFonts w:eastAsia="Calibri" w:cs="Times New Roman"/>
                <w:b/>
                <w:bCs/>
                <w:sz w:val="22"/>
                <w:szCs w:val="22"/>
              </w:rPr>
            </w:pPr>
          </w:p>
        </w:tc>
        <w:tc>
          <w:tcPr>
            <w:tcW w:w="840" w:type="dxa"/>
            <w:shd w:val="clear" w:color="auto" w:fill="CCCCCC"/>
            <w:vAlign w:val="center"/>
          </w:tcPr>
          <w:p w:rsidR="002301E3" w:rsidRPr="00AF3461" w:rsidRDefault="002301E3">
            <w:pPr>
              <w:pStyle w:val="Sadrajitablice"/>
              <w:snapToGrid w:val="0"/>
              <w:jc w:val="center"/>
              <w:rPr>
                <w:rFonts w:eastAsia="Calibri" w:cs="Times New Roman"/>
                <w:b/>
                <w:bCs/>
                <w:sz w:val="22"/>
                <w:szCs w:val="22"/>
              </w:rPr>
            </w:pPr>
            <w:r w:rsidRPr="00AF3461">
              <w:rPr>
                <w:rFonts w:eastAsia="Calibri" w:cs="Times New Roman"/>
                <w:b/>
                <w:bCs/>
                <w:sz w:val="22"/>
                <w:szCs w:val="22"/>
              </w:rPr>
              <w:t>Br.</w:t>
            </w:r>
          </w:p>
        </w:tc>
        <w:tc>
          <w:tcPr>
            <w:tcW w:w="2235" w:type="dxa"/>
            <w:shd w:val="clear" w:color="auto" w:fill="CCCCCC"/>
            <w:vAlign w:val="center"/>
          </w:tcPr>
          <w:p w:rsidR="002301E3" w:rsidRPr="00AF3461" w:rsidRDefault="002301E3">
            <w:pPr>
              <w:pStyle w:val="Sadrajitablice"/>
              <w:snapToGrid w:val="0"/>
              <w:jc w:val="center"/>
              <w:rPr>
                <w:rFonts w:eastAsia="Calibri" w:cs="Times New Roman"/>
                <w:b/>
                <w:bCs/>
                <w:sz w:val="22"/>
                <w:szCs w:val="22"/>
              </w:rPr>
            </w:pPr>
            <w:r w:rsidRPr="00AF3461">
              <w:rPr>
                <w:rFonts w:eastAsia="Calibri" w:cs="Times New Roman"/>
                <w:b/>
                <w:bCs/>
                <w:sz w:val="22"/>
                <w:szCs w:val="22"/>
              </w:rPr>
              <w:t>Katastarska čestica br.</w:t>
            </w:r>
          </w:p>
        </w:tc>
        <w:tc>
          <w:tcPr>
            <w:tcW w:w="1820" w:type="dxa"/>
            <w:shd w:val="clear" w:color="auto" w:fill="CCCCCC"/>
            <w:vAlign w:val="center"/>
          </w:tcPr>
          <w:p w:rsidR="002301E3" w:rsidRPr="00AF3461" w:rsidRDefault="002301E3">
            <w:pPr>
              <w:pStyle w:val="Sadrajitablice"/>
              <w:snapToGrid w:val="0"/>
              <w:jc w:val="center"/>
              <w:rPr>
                <w:rFonts w:eastAsia="Calibri" w:cs="Times New Roman"/>
                <w:b/>
                <w:bCs/>
                <w:sz w:val="22"/>
                <w:szCs w:val="22"/>
              </w:rPr>
            </w:pPr>
            <w:r w:rsidRPr="00AF3461">
              <w:rPr>
                <w:rFonts w:eastAsia="Calibri" w:cs="Times New Roman"/>
                <w:b/>
                <w:bCs/>
                <w:sz w:val="22"/>
                <w:szCs w:val="22"/>
              </w:rPr>
              <w:t>Površina (m</w:t>
            </w:r>
            <w:r w:rsidRPr="00AF3461">
              <w:rPr>
                <w:rFonts w:eastAsia="Calibri" w:cs="Times New Roman"/>
                <w:b/>
                <w:bCs/>
                <w:sz w:val="22"/>
                <w:szCs w:val="22"/>
                <w:vertAlign w:val="superscript"/>
              </w:rPr>
              <w:t>2</w:t>
            </w:r>
            <w:r w:rsidRPr="00AF3461">
              <w:rPr>
                <w:rFonts w:eastAsia="Calibri" w:cs="Times New Roman"/>
                <w:b/>
                <w:bCs/>
                <w:sz w:val="22"/>
                <w:szCs w:val="22"/>
              </w:rPr>
              <w:t>)</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1957/39</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6.609</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1957/58</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1.834</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1957/41</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1.134</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20.</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1957/59</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1.677</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3.</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1957/42</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1.123</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21.</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1957/60</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1.747</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4.</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1957/43</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1.189</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22.</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1957/61</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1.777</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5.</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1957/44</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1.026</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23.</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1957/62</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1.862</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6.</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1957/45</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999</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24.</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1957/63</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1.862</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7.</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1957/46</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990</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25.</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1957/64</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1.862</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8.</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1957/47</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990</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26.</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1957/65</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1.862</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1957/48</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990</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27.</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1957/32</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1.993</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10.</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1957/49</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990</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28.</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1957/37</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1.121</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11.</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1957/50</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990</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29.</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1957/38</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17.335</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12.</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1957/51</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990</w:t>
            </w:r>
          </w:p>
        </w:tc>
        <w:tc>
          <w:tcPr>
            <w:tcW w:w="540" w:type="dxa"/>
            <w:vMerge/>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30.</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1957/83</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19.221</w:t>
            </w:r>
          </w:p>
        </w:tc>
      </w:tr>
      <w:tr w:rsidR="002301E3" w:rsidRPr="00AF3461" w:rsidTr="001618A4">
        <w:tc>
          <w:tcPr>
            <w:tcW w:w="522" w:type="dxa"/>
            <w:shd w:val="clear" w:color="auto" w:fill="auto"/>
            <w:vAlign w:val="center"/>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13.</w:t>
            </w:r>
          </w:p>
        </w:tc>
        <w:tc>
          <w:tcPr>
            <w:tcW w:w="2238" w:type="dxa"/>
            <w:shd w:val="clear" w:color="auto" w:fill="auto"/>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1957/52</w:t>
            </w:r>
          </w:p>
        </w:tc>
        <w:tc>
          <w:tcPr>
            <w:tcW w:w="1635" w:type="dxa"/>
            <w:shd w:val="clear" w:color="auto" w:fill="auto"/>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990</w:t>
            </w:r>
          </w:p>
        </w:tc>
        <w:tc>
          <w:tcPr>
            <w:tcW w:w="540" w:type="dxa"/>
            <w:vMerge/>
            <w:shd w:val="clear" w:color="auto" w:fill="CCCCCC"/>
            <w:vAlign w:val="center"/>
          </w:tcPr>
          <w:p w:rsidR="002301E3" w:rsidRPr="00AF3461" w:rsidRDefault="002301E3">
            <w:pPr>
              <w:pStyle w:val="Sadrajitablice"/>
              <w:snapToGrid w:val="0"/>
              <w:jc w:val="center"/>
              <w:rPr>
                <w:rFonts w:eastAsia="Calibri" w:cs="Times New Roman"/>
                <w:sz w:val="22"/>
                <w:szCs w:val="22"/>
              </w:rPr>
            </w:pPr>
          </w:p>
        </w:tc>
        <w:tc>
          <w:tcPr>
            <w:tcW w:w="840"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31</w:t>
            </w:r>
            <w:r w:rsidR="002301E3" w:rsidRPr="00AF3461">
              <w:rPr>
                <w:rFonts w:eastAsia="Calibri" w:cs="Times New Roman"/>
                <w:sz w:val="22"/>
                <w:szCs w:val="22"/>
              </w:rPr>
              <w:t>.</w:t>
            </w:r>
          </w:p>
        </w:tc>
        <w:tc>
          <w:tcPr>
            <w:tcW w:w="2235"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1957/84</w:t>
            </w:r>
          </w:p>
        </w:tc>
        <w:tc>
          <w:tcPr>
            <w:tcW w:w="1820"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568</w:t>
            </w:r>
          </w:p>
        </w:tc>
      </w:tr>
      <w:tr w:rsidR="002301E3" w:rsidRPr="00AF3461" w:rsidTr="001618A4">
        <w:tc>
          <w:tcPr>
            <w:tcW w:w="522" w:type="dxa"/>
            <w:shd w:val="clear" w:color="auto" w:fill="auto"/>
            <w:vAlign w:val="center"/>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14.</w:t>
            </w:r>
          </w:p>
        </w:tc>
        <w:tc>
          <w:tcPr>
            <w:tcW w:w="2238" w:type="dxa"/>
            <w:shd w:val="clear" w:color="auto" w:fill="auto"/>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1957/53</w:t>
            </w:r>
          </w:p>
        </w:tc>
        <w:tc>
          <w:tcPr>
            <w:tcW w:w="1635" w:type="dxa"/>
            <w:shd w:val="clear" w:color="auto" w:fill="auto"/>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1.100</w:t>
            </w:r>
          </w:p>
        </w:tc>
        <w:tc>
          <w:tcPr>
            <w:tcW w:w="540" w:type="dxa"/>
            <w:vMerge/>
            <w:shd w:val="clear" w:color="auto" w:fill="CCCCCC"/>
            <w:vAlign w:val="center"/>
          </w:tcPr>
          <w:p w:rsidR="002301E3" w:rsidRPr="00AF3461" w:rsidRDefault="002301E3">
            <w:pPr>
              <w:pStyle w:val="Sadrajitablice"/>
              <w:snapToGrid w:val="0"/>
              <w:jc w:val="center"/>
              <w:rPr>
                <w:rFonts w:eastAsia="Calibri" w:cs="Times New Roman"/>
                <w:sz w:val="22"/>
                <w:szCs w:val="22"/>
              </w:rPr>
            </w:pPr>
          </w:p>
        </w:tc>
        <w:tc>
          <w:tcPr>
            <w:tcW w:w="840"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32</w:t>
            </w:r>
          </w:p>
        </w:tc>
        <w:tc>
          <w:tcPr>
            <w:tcW w:w="2235"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1957/85</w:t>
            </w:r>
          </w:p>
        </w:tc>
        <w:tc>
          <w:tcPr>
            <w:tcW w:w="1820"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287</w:t>
            </w:r>
          </w:p>
        </w:tc>
      </w:tr>
      <w:tr w:rsidR="002301E3" w:rsidRPr="00AF3461" w:rsidTr="001618A4">
        <w:tc>
          <w:tcPr>
            <w:tcW w:w="522" w:type="dxa"/>
            <w:shd w:val="clear" w:color="auto" w:fill="auto"/>
            <w:vAlign w:val="center"/>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15.</w:t>
            </w:r>
          </w:p>
        </w:tc>
        <w:tc>
          <w:tcPr>
            <w:tcW w:w="2238" w:type="dxa"/>
            <w:shd w:val="clear" w:color="auto" w:fill="auto"/>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1957/54</w:t>
            </w:r>
          </w:p>
        </w:tc>
        <w:tc>
          <w:tcPr>
            <w:tcW w:w="1635" w:type="dxa"/>
            <w:shd w:val="clear" w:color="auto" w:fill="auto"/>
          </w:tcPr>
          <w:p w:rsidR="002301E3" w:rsidRPr="00AF3461" w:rsidRDefault="002301E3">
            <w:pPr>
              <w:pStyle w:val="Sadrajitablice"/>
              <w:snapToGrid w:val="0"/>
              <w:jc w:val="center"/>
              <w:rPr>
                <w:rFonts w:eastAsia="Calibri" w:cs="Times New Roman"/>
                <w:sz w:val="22"/>
                <w:szCs w:val="22"/>
              </w:rPr>
            </w:pPr>
            <w:r w:rsidRPr="00AF3461">
              <w:rPr>
                <w:rFonts w:eastAsia="Calibri" w:cs="Times New Roman"/>
                <w:sz w:val="22"/>
                <w:szCs w:val="22"/>
              </w:rPr>
              <w:t>1.024</w:t>
            </w:r>
          </w:p>
        </w:tc>
        <w:tc>
          <w:tcPr>
            <w:tcW w:w="540" w:type="dxa"/>
            <w:vMerge/>
            <w:shd w:val="clear" w:color="auto" w:fill="CCCCCC"/>
            <w:vAlign w:val="center"/>
          </w:tcPr>
          <w:p w:rsidR="002301E3" w:rsidRPr="00AF3461" w:rsidRDefault="002301E3">
            <w:pPr>
              <w:pStyle w:val="Sadrajitablice"/>
              <w:snapToGrid w:val="0"/>
              <w:jc w:val="center"/>
              <w:rPr>
                <w:rFonts w:eastAsia="Calibri" w:cs="Times New Roman"/>
                <w:sz w:val="22"/>
                <w:szCs w:val="22"/>
              </w:rPr>
            </w:pPr>
          </w:p>
        </w:tc>
        <w:tc>
          <w:tcPr>
            <w:tcW w:w="840"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33</w:t>
            </w:r>
            <w:r w:rsidR="002301E3" w:rsidRPr="00AF3461">
              <w:rPr>
                <w:rFonts w:eastAsia="Calibri" w:cs="Times New Roman"/>
                <w:sz w:val="22"/>
                <w:szCs w:val="22"/>
              </w:rPr>
              <w:t>.</w:t>
            </w:r>
          </w:p>
        </w:tc>
        <w:tc>
          <w:tcPr>
            <w:tcW w:w="2235"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1957/86</w:t>
            </w:r>
          </w:p>
        </w:tc>
        <w:tc>
          <w:tcPr>
            <w:tcW w:w="1820" w:type="dxa"/>
            <w:shd w:val="clear" w:color="auto" w:fill="auto"/>
          </w:tcPr>
          <w:p w:rsidR="002301E3" w:rsidRPr="00AF3461" w:rsidRDefault="001618A4">
            <w:pPr>
              <w:pStyle w:val="Sadrajitablice"/>
              <w:snapToGrid w:val="0"/>
              <w:jc w:val="center"/>
              <w:rPr>
                <w:rFonts w:eastAsia="Calibri" w:cs="Times New Roman"/>
                <w:sz w:val="22"/>
                <w:szCs w:val="22"/>
              </w:rPr>
            </w:pPr>
            <w:r w:rsidRPr="00AF3461">
              <w:rPr>
                <w:rFonts w:eastAsia="Calibri" w:cs="Times New Roman"/>
                <w:sz w:val="22"/>
                <w:szCs w:val="22"/>
              </w:rPr>
              <w:t>1.119</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16.</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1957/55</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1.024</w:t>
            </w:r>
          </w:p>
        </w:tc>
        <w:tc>
          <w:tcPr>
            <w:tcW w:w="540" w:type="dxa"/>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34.</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1957/87</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7.568</w:t>
            </w:r>
          </w:p>
        </w:tc>
      </w:tr>
      <w:tr w:rsidR="001618A4" w:rsidRPr="00AF3461" w:rsidTr="001618A4">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17.</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1957/56</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1.168</w:t>
            </w:r>
          </w:p>
        </w:tc>
        <w:tc>
          <w:tcPr>
            <w:tcW w:w="540" w:type="dxa"/>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84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35.</w:t>
            </w:r>
          </w:p>
        </w:tc>
        <w:tc>
          <w:tcPr>
            <w:tcW w:w="22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Dio 1957/26</w:t>
            </w:r>
          </w:p>
        </w:tc>
        <w:tc>
          <w:tcPr>
            <w:tcW w:w="1820"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13.310</w:t>
            </w:r>
          </w:p>
        </w:tc>
      </w:tr>
      <w:tr w:rsidR="001618A4" w:rsidRPr="00AF3461" w:rsidTr="002301E3">
        <w:tc>
          <w:tcPr>
            <w:tcW w:w="522" w:type="dxa"/>
            <w:shd w:val="clear" w:color="auto" w:fill="auto"/>
            <w:vAlign w:val="center"/>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18.</w:t>
            </w:r>
          </w:p>
        </w:tc>
        <w:tc>
          <w:tcPr>
            <w:tcW w:w="2238"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1957/57</w:t>
            </w:r>
          </w:p>
        </w:tc>
        <w:tc>
          <w:tcPr>
            <w:tcW w:w="1635" w:type="dxa"/>
            <w:shd w:val="clear" w:color="auto" w:fill="auto"/>
          </w:tcPr>
          <w:p w:rsidR="001618A4" w:rsidRPr="00AF3461" w:rsidRDefault="001618A4" w:rsidP="001618A4">
            <w:pPr>
              <w:pStyle w:val="Sadrajitablice"/>
              <w:snapToGrid w:val="0"/>
              <w:jc w:val="center"/>
              <w:rPr>
                <w:rFonts w:eastAsia="Calibri" w:cs="Times New Roman"/>
                <w:sz w:val="22"/>
                <w:szCs w:val="22"/>
              </w:rPr>
            </w:pPr>
            <w:r w:rsidRPr="00AF3461">
              <w:rPr>
                <w:rFonts w:eastAsia="Calibri" w:cs="Times New Roman"/>
                <w:sz w:val="22"/>
                <w:szCs w:val="22"/>
              </w:rPr>
              <w:t>3.516</w:t>
            </w:r>
          </w:p>
        </w:tc>
        <w:tc>
          <w:tcPr>
            <w:tcW w:w="540" w:type="dxa"/>
            <w:shd w:val="clear" w:color="auto" w:fill="CCCCCC"/>
            <w:vAlign w:val="center"/>
          </w:tcPr>
          <w:p w:rsidR="001618A4" w:rsidRPr="00AF3461" w:rsidRDefault="001618A4" w:rsidP="001618A4">
            <w:pPr>
              <w:pStyle w:val="Sadrajitablice"/>
              <w:snapToGrid w:val="0"/>
              <w:jc w:val="center"/>
              <w:rPr>
                <w:rFonts w:eastAsia="Calibri" w:cs="Times New Roman"/>
                <w:sz w:val="22"/>
                <w:szCs w:val="22"/>
              </w:rPr>
            </w:pPr>
          </w:p>
        </w:tc>
        <w:tc>
          <w:tcPr>
            <w:tcW w:w="4895" w:type="dxa"/>
            <w:gridSpan w:val="3"/>
            <w:shd w:val="clear" w:color="auto" w:fill="BFBFBF"/>
          </w:tcPr>
          <w:p w:rsidR="001618A4" w:rsidRPr="00AF3461" w:rsidRDefault="001618A4" w:rsidP="001618A4">
            <w:pPr>
              <w:pStyle w:val="Sadrajitablice"/>
              <w:snapToGrid w:val="0"/>
              <w:jc w:val="center"/>
              <w:rPr>
                <w:rFonts w:eastAsia="Calibri" w:cs="Times New Roman"/>
                <w:sz w:val="22"/>
                <w:szCs w:val="22"/>
              </w:rPr>
            </w:pPr>
          </w:p>
        </w:tc>
      </w:tr>
    </w:tbl>
    <w:p w:rsidR="002301E3" w:rsidRPr="00AF3461" w:rsidRDefault="002301E3">
      <w:pPr>
        <w:rPr>
          <w:sz w:val="22"/>
          <w:szCs w:val="22"/>
        </w:rPr>
      </w:pPr>
    </w:p>
    <w:p w:rsidR="002301E3" w:rsidRPr="00AF3461" w:rsidRDefault="002301E3">
      <w:pPr>
        <w:rPr>
          <w:b/>
          <w:bCs/>
          <w:color w:val="000000"/>
          <w:sz w:val="22"/>
          <w:szCs w:val="22"/>
        </w:rPr>
      </w:pPr>
      <w:r w:rsidRPr="00AF3461">
        <w:rPr>
          <w:color w:val="000000"/>
          <w:sz w:val="22"/>
          <w:szCs w:val="22"/>
        </w:rPr>
        <w:tab/>
        <w:t xml:space="preserve">Navedene čestice zakupljuju se kao </w:t>
      </w:r>
      <w:r w:rsidRPr="00AF3461">
        <w:rPr>
          <w:b/>
          <w:bCs/>
          <w:color w:val="000000"/>
          <w:sz w:val="22"/>
          <w:szCs w:val="22"/>
        </w:rPr>
        <w:t>cjelina površine 10 ha 38 a 47 m</w:t>
      </w:r>
      <w:r w:rsidRPr="00AF3461">
        <w:rPr>
          <w:b/>
          <w:bCs/>
          <w:color w:val="000000"/>
          <w:sz w:val="22"/>
          <w:szCs w:val="22"/>
          <w:vertAlign w:val="superscript"/>
        </w:rPr>
        <w:t>2</w:t>
      </w:r>
      <w:r w:rsidRPr="00AF3461">
        <w:rPr>
          <w:b/>
          <w:bCs/>
          <w:color w:val="000000"/>
          <w:sz w:val="22"/>
          <w:szCs w:val="22"/>
        </w:rPr>
        <w:t>.</w:t>
      </w:r>
    </w:p>
    <w:p w:rsidR="002301E3" w:rsidRPr="00AF3461" w:rsidRDefault="002301E3">
      <w:pPr>
        <w:rPr>
          <w:b/>
          <w:bCs/>
          <w:color w:val="000000"/>
          <w:sz w:val="22"/>
          <w:szCs w:val="22"/>
        </w:rPr>
      </w:pPr>
      <w:r w:rsidRPr="00AF3461">
        <w:rPr>
          <w:b/>
          <w:bCs/>
          <w:color w:val="000000"/>
          <w:sz w:val="22"/>
          <w:szCs w:val="22"/>
        </w:rPr>
        <w:tab/>
        <w:t>Početna cijena zakupa je 1.200,00 kn/ha.</w:t>
      </w:r>
    </w:p>
    <w:p w:rsidR="002301E3" w:rsidRPr="00AF3461" w:rsidRDefault="002301E3">
      <w:pPr>
        <w:rPr>
          <w:sz w:val="22"/>
          <w:szCs w:val="22"/>
        </w:rPr>
      </w:pPr>
      <w:r w:rsidRPr="00AF3461">
        <w:rPr>
          <w:color w:val="000000"/>
          <w:sz w:val="22"/>
          <w:szCs w:val="22"/>
        </w:rPr>
        <w:tab/>
        <w:t xml:space="preserve">Nakon utvrđene početne cijene, natjecatelji </w:t>
      </w:r>
      <w:r w:rsidRPr="00AF3461">
        <w:rPr>
          <w:b/>
          <w:bCs/>
          <w:color w:val="000000"/>
          <w:sz w:val="22"/>
          <w:szCs w:val="22"/>
        </w:rPr>
        <w:t xml:space="preserve">ne mogu stavljati manju ponudu od 50,00 kn po ha </w:t>
      </w:r>
      <w:r w:rsidRPr="00AF3461">
        <w:rPr>
          <w:color w:val="000000"/>
          <w:sz w:val="22"/>
          <w:szCs w:val="22"/>
        </w:rPr>
        <w:t>od početne cijene.</w:t>
      </w:r>
      <w:r w:rsidRPr="00AF3461">
        <w:rPr>
          <w:color w:val="000000"/>
          <w:sz w:val="22"/>
          <w:szCs w:val="22"/>
        </w:rPr>
        <w:br/>
      </w:r>
      <w:r w:rsidRPr="00AF3461">
        <w:rPr>
          <w:color w:val="000000"/>
          <w:sz w:val="22"/>
          <w:szCs w:val="22"/>
        </w:rPr>
        <w:tab/>
      </w:r>
      <w:r w:rsidRPr="00AF3461">
        <w:rPr>
          <w:sz w:val="22"/>
          <w:szCs w:val="22"/>
        </w:rPr>
        <w:t xml:space="preserve">Uvid u kopiju katastarskog plana moguće je obaviti na Oglasnoj ploči Općine Orehovica te na </w:t>
      </w:r>
      <w:hyperlink r:id="rId5" w:history="1">
        <w:r w:rsidRPr="00AF3461">
          <w:rPr>
            <w:rStyle w:val="Hyperlink"/>
            <w:sz w:val="22"/>
            <w:szCs w:val="22"/>
          </w:rPr>
          <w:t>www.orehovica.hr</w:t>
        </w:r>
      </w:hyperlink>
      <w:r w:rsidRPr="00AF3461">
        <w:rPr>
          <w:rStyle w:val="Hyperlink"/>
          <w:sz w:val="22"/>
          <w:szCs w:val="22"/>
        </w:rPr>
        <w:t>.</w:t>
      </w:r>
      <w:r w:rsidRPr="00AF3461">
        <w:rPr>
          <w:sz w:val="22"/>
          <w:szCs w:val="22"/>
        </w:rPr>
        <w:t xml:space="preserve"> Na zahtjev, zainteresirani mogu dobiti i primjerak kopije plana u Jedinstvenom upravnom odjelu Općine Orehovica.</w:t>
      </w:r>
    </w:p>
    <w:p w:rsidR="002301E3" w:rsidRPr="00AF3461" w:rsidRDefault="002301E3">
      <w:pPr>
        <w:rPr>
          <w:sz w:val="22"/>
          <w:szCs w:val="22"/>
        </w:rPr>
      </w:pPr>
    </w:p>
    <w:p w:rsidR="002301E3" w:rsidRPr="00AF3461" w:rsidRDefault="00AF3461">
      <w:pPr>
        <w:rPr>
          <w:b/>
          <w:sz w:val="22"/>
          <w:szCs w:val="22"/>
        </w:rPr>
      </w:pPr>
      <w:r>
        <w:rPr>
          <w:b/>
          <w:sz w:val="22"/>
          <w:szCs w:val="22"/>
        </w:rPr>
        <w:br w:type="page"/>
      </w:r>
      <w:r w:rsidR="002301E3" w:rsidRPr="00AF3461">
        <w:rPr>
          <w:b/>
          <w:sz w:val="22"/>
          <w:szCs w:val="22"/>
        </w:rPr>
        <w:lastRenderedPageBreak/>
        <w:t xml:space="preserve">II. UVJETI NATJEČAJA </w:t>
      </w:r>
    </w:p>
    <w:p w:rsidR="002301E3" w:rsidRPr="00AF3461" w:rsidRDefault="002301E3">
      <w:pPr>
        <w:rPr>
          <w:b/>
          <w:sz w:val="22"/>
          <w:szCs w:val="22"/>
        </w:rPr>
      </w:pPr>
      <w:r w:rsidRPr="00AF3461">
        <w:rPr>
          <w:sz w:val="22"/>
          <w:szCs w:val="22"/>
        </w:rPr>
        <w:tab/>
        <w:t>Javna licitacija za davanje zakupa održati će se</w:t>
      </w:r>
      <w:r w:rsidR="00DB4666" w:rsidRPr="00AF3461">
        <w:rPr>
          <w:b/>
          <w:bCs/>
          <w:sz w:val="22"/>
          <w:szCs w:val="22"/>
        </w:rPr>
        <w:t xml:space="preserve"> </w:t>
      </w:r>
      <w:r w:rsidR="00726F89" w:rsidRPr="00AF3461">
        <w:rPr>
          <w:b/>
          <w:bCs/>
          <w:sz w:val="22"/>
          <w:szCs w:val="22"/>
        </w:rPr>
        <w:t>09</w:t>
      </w:r>
      <w:r w:rsidR="00DB4666" w:rsidRPr="00AF3461">
        <w:rPr>
          <w:b/>
          <w:bCs/>
          <w:sz w:val="22"/>
          <w:szCs w:val="22"/>
        </w:rPr>
        <w:t xml:space="preserve">. </w:t>
      </w:r>
      <w:r w:rsidR="00726F89" w:rsidRPr="00AF3461">
        <w:rPr>
          <w:b/>
          <w:bCs/>
          <w:sz w:val="22"/>
          <w:szCs w:val="22"/>
        </w:rPr>
        <w:t>siječnja</w:t>
      </w:r>
      <w:r w:rsidR="00DB4666" w:rsidRPr="00AF3461">
        <w:rPr>
          <w:b/>
          <w:bCs/>
          <w:sz w:val="22"/>
          <w:szCs w:val="22"/>
        </w:rPr>
        <w:t xml:space="preserve"> </w:t>
      </w:r>
      <w:r w:rsidRPr="00AF3461">
        <w:rPr>
          <w:b/>
          <w:bCs/>
          <w:sz w:val="22"/>
          <w:szCs w:val="22"/>
        </w:rPr>
        <w:t>201</w:t>
      </w:r>
      <w:r w:rsidR="00726F89" w:rsidRPr="00AF3461">
        <w:rPr>
          <w:b/>
          <w:sz w:val="22"/>
          <w:szCs w:val="22"/>
        </w:rPr>
        <w:t>8</w:t>
      </w:r>
      <w:r w:rsidRPr="00AF3461">
        <w:rPr>
          <w:b/>
          <w:sz w:val="22"/>
          <w:szCs w:val="22"/>
        </w:rPr>
        <w:t>. godine (</w:t>
      </w:r>
      <w:r w:rsidR="00726F89" w:rsidRPr="00AF3461">
        <w:rPr>
          <w:b/>
          <w:sz w:val="22"/>
          <w:szCs w:val="22"/>
        </w:rPr>
        <w:t>srijeda) u 09</w:t>
      </w:r>
      <w:r w:rsidRPr="00AF3461">
        <w:rPr>
          <w:b/>
          <w:sz w:val="22"/>
          <w:szCs w:val="22"/>
        </w:rPr>
        <w:t xml:space="preserve">.00 sati, u prostorijama Općine Orehovica. </w:t>
      </w:r>
    </w:p>
    <w:p w:rsidR="002301E3" w:rsidRPr="00AF3461" w:rsidRDefault="002301E3">
      <w:pPr>
        <w:rPr>
          <w:sz w:val="22"/>
          <w:szCs w:val="22"/>
        </w:rPr>
      </w:pPr>
    </w:p>
    <w:p w:rsidR="002301E3" w:rsidRPr="00AF3461" w:rsidRDefault="002301E3">
      <w:pPr>
        <w:rPr>
          <w:color w:val="000000"/>
          <w:sz w:val="22"/>
          <w:szCs w:val="22"/>
        </w:rPr>
      </w:pPr>
      <w:r w:rsidRPr="00AF3461">
        <w:rPr>
          <w:color w:val="000000"/>
          <w:sz w:val="22"/>
          <w:szCs w:val="22"/>
        </w:rPr>
        <w:tab/>
        <w:t>Pravo sudjelovanja na natječaju imaju sve fizičke i pravne osobe upisane u Upisnik poljoprivrednog gospodarstva (OPG), koje uplate jamčevinu.</w:t>
      </w:r>
    </w:p>
    <w:p w:rsidR="002301E3" w:rsidRPr="00AF3461" w:rsidRDefault="002301E3">
      <w:pPr>
        <w:rPr>
          <w:color w:val="000000"/>
          <w:sz w:val="22"/>
          <w:szCs w:val="22"/>
        </w:rPr>
      </w:pPr>
      <w:r w:rsidRPr="00AF3461">
        <w:rPr>
          <w:color w:val="000000"/>
          <w:sz w:val="22"/>
          <w:szCs w:val="22"/>
        </w:rPr>
        <w:tab/>
        <w:t xml:space="preserve">Jamčevina iznosi </w:t>
      </w:r>
      <w:r w:rsidR="00F94384" w:rsidRPr="00AF3461">
        <w:rPr>
          <w:b/>
          <w:color w:val="000000"/>
          <w:sz w:val="22"/>
          <w:szCs w:val="22"/>
        </w:rPr>
        <w:t>2.000</w:t>
      </w:r>
      <w:r w:rsidRPr="00AF3461">
        <w:rPr>
          <w:b/>
          <w:color w:val="000000"/>
          <w:sz w:val="22"/>
          <w:szCs w:val="22"/>
        </w:rPr>
        <w:t>,00 kn</w:t>
      </w:r>
      <w:r w:rsidRPr="00AF3461">
        <w:rPr>
          <w:color w:val="000000"/>
          <w:sz w:val="22"/>
          <w:szCs w:val="22"/>
        </w:rPr>
        <w:t xml:space="preserve"> i uplaćuje se žiro račun Općine Orehovica broj HR5923400091860500004, model HR68, poziv na broj 7706 – OIB , uz naznaku svrha uplate: ”Jamčevina za natječaj – zakup zemljišta”. </w:t>
      </w:r>
      <w:r w:rsidRPr="00AF3461">
        <w:rPr>
          <w:color w:val="000000"/>
          <w:sz w:val="22"/>
          <w:szCs w:val="22"/>
        </w:rPr>
        <w:tab/>
        <w:t>Jamčevina se može uplatiti i voditelju nadmetanja neposredno prije samog nadmetanja.</w:t>
      </w:r>
      <w:r w:rsidRPr="00AF3461">
        <w:rPr>
          <w:color w:val="000000"/>
          <w:sz w:val="22"/>
          <w:szCs w:val="22"/>
        </w:rPr>
        <w:br/>
      </w:r>
      <w:r w:rsidRPr="00AF3461">
        <w:rPr>
          <w:color w:val="000000"/>
          <w:sz w:val="22"/>
          <w:szCs w:val="22"/>
        </w:rPr>
        <w:tab/>
        <w:t>Odabranom ponuditelju jamčevina će se uračunati u ponuđenu cijenu, a ostalim sudionicima u natječaju vratiti će se u roku 8 dana od dana završetka natječaja .</w:t>
      </w:r>
    </w:p>
    <w:p w:rsidR="002301E3" w:rsidRPr="00AF3461" w:rsidRDefault="002301E3">
      <w:pPr>
        <w:rPr>
          <w:sz w:val="22"/>
          <w:szCs w:val="22"/>
        </w:rPr>
      </w:pPr>
    </w:p>
    <w:p w:rsidR="002301E3" w:rsidRPr="00AF3461" w:rsidRDefault="002301E3">
      <w:pPr>
        <w:rPr>
          <w:color w:val="000000"/>
          <w:sz w:val="22"/>
          <w:szCs w:val="22"/>
        </w:rPr>
      </w:pPr>
      <w:r w:rsidRPr="00AF3461">
        <w:rPr>
          <w:color w:val="000000"/>
          <w:sz w:val="22"/>
          <w:szCs w:val="22"/>
        </w:rPr>
        <w:t>Ponuditelji mora</w:t>
      </w:r>
      <w:r w:rsidR="00CD52E7" w:rsidRPr="00AF3461">
        <w:rPr>
          <w:color w:val="000000"/>
          <w:sz w:val="22"/>
          <w:szCs w:val="22"/>
        </w:rPr>
        <w:t>ju voditelju nadmetanja dati sl</w:t>
      </w:r>
      <w:r w:rsidRPr="00AF3461">
        <w:rPr>
          <w:color w:val="000000"/>
          <w:sz w:val="22"/>
          <w:szCs w:val="22"/>
        </w:rPr>
        <w:t>jedeće podatke:</w:t>
      </w:r>
    </w:p>
    <w:p w:rsidR="002301E3" w:rsidRPr="00AF3461" w:rsidRDefault="002301E3">
      <w:pPr>
        <w:numPr>
          <w:ilvl w:val="0"/>
          <w:numId w:val="1"/>
        </w:numPr>
        <w:rPr>
          <w:color w:val="000000"/>
          <w:sz w:val="22"/>
          <w:szCs w:val="22"/>
        </w:rPr>
      </w:pPr>
      <w:r w:rsidRPr="00AF3461">
        <w:rPr>
          <w:color w:val="000000"/>
          <w:sz w:val="22"/>
          <w:szCs w:val="22"/>
        </w:rPr>
        <w:t>ime, prezime i adresu, odnosno naziv i adresu tvrtke pravnog subjekta ili OPG</w:t>
      </w:r>
      <w:r w:rsidR="00AF3461">
        <w:rPr>
          <w:color w:val="000000"/>
          <w:sz w:val="22"/>
          <w:szCs w:val="22"/>
        </w:rPr>
        <w:t>-</w:t>
      </w:r>
      <w:r w:rsidRPr="00AF3461">
        <w:rPr>
          <w:color w:val="000000"/>
          <w:sz w:val="22"/>
          <w:szCs w:val="22"/>
        </w:rPr>
        <w:t>a,</w:t>
      </w:r>
    </w:p>
    <w:p w:rsidR="002301E3" w:rsidRPr="00AF3461" w:rsidRDefault="002301E3">
      <w:pPr>
        <w:numPr>
          <w:ilvl w:val="0"/>
          <w:numId w:val="1"/>
        </w:numPr>
        <w:rPr>
          <w:color w:val="000000"/>
          <w:sz w:val="22"/>
          <w:szCs w:val="22"/>
        </w:rPr>
      </w:pPr>
      <w:r w:rsidRPr="00AF3461">
        <w:rPr>
          <w:color w:val="000000"/>
          <w:sz w:val="22"/>
          <w:szCs w:val="22"/>
        </w:rPr>
        <w:t>dokaz o uplati jamčevine,</w:t>
      </w:r>
    </w:p>
    <w:p w:rsidR="002301E3" w:rsidRPr="00AF3461" w:rsidRDefault="002301E3">
      <w:pPr>
        <w:numPr>
          <w:ilvl w:val="0"/>
          <w:numId w:val="1"/>
        </w:numPr>
        <w:rPr>
          <w:color w:val="000000"/>
          <w:sz w:val="22"/>
          <w:szCs w:val="22"/>
        </w:rPr>
      </w:pPr>
      <w:r w:rsidRPr="00AF3461">
        <w:rPr>
          <w:color w:val="000000"/>
          <w:sz w:val="22"/>
          <w:szCs w:val="22"/>
        </w:rPr>
        <w:t>presliku osobne iskaznice ili izvod iz sudskog registra ili obrtnice ili upisnika OPG</w:t>
      </w:r>
      <w:r w:rsidR="00AF3461">
        <w:rPr>
          <w:color w:val="000000"/>
          <w:sz w:val="22"/>
          <w:szCs w:val="22"/>
        </w:rPr>
        <w:t>-</w:t>
      </w:r>
      <w:r w:rsidRPr="00AF3461">
        <w:rPr>
          <w:color w:val="000000"/>
          <w:sz w:val="22"/>
          <w:szCs w:val="22"/>
        </w:rPr>
        <w:t>a,</w:t>
      </w:r>
    </w:p>
    <w:p w:rsidR="002301E3" w:rsidRPr="00AF3461" w:rsidRDefault="002301E3">
      <w:pPr>
        <w:numPr>
          <w:ilvl w:val="0"/>
          <w:numId w:val="1"/>
        </w:numPr>
        <w:rPr>
          <w:color w:val="000000"/>
          <w:sz w:val="22"/>
          <w:szCs w:val="22"/>
        </w:rPr>
      </w:pPr>
      <w:r w:rsidRPr="00AF3461">
        <w:rPr>
          <w:color w:val="000000"/>
          <w:sz w:val="22"/>
          <w:szCs w:val="22"/>
        </w:rPr>
        <w:t xml:space="preserve">potvrdu da ponuditelj nema dugovanja prema Općini Orehovica (izdaje Jedinstveni upravni odjel </w:t>
      </w:r>
      <w:r w:rsidR="00AF3461" w:rsidRPr="00AF3461">
        <w:rPr>
          <w:color w:val="000000"/>
          <w:sz w:val="22"/>
          <w:szCs w:val="22"/>
        </w:rPr>
        <w:t>Općine</w:t>
      </w:r>
      <w:r w:rsidRPr="00AF3461">
        <w:rPr>
          <w:color w:val="000000"/>
          <w:sz w:val="22"/>
          <w:szCs w:val="22"/>
        </w:rPr>
        <w:t xml:space="preserve"> Orehovica).</w:t>
      </w:r>
    </w:p>
    <w:p w:rsidR="002301E3" w:rsidRPr="00AF3461" w:rsidRDefault="002301E3">
      <w:pPr>
        <w:rPr>
          <w:color w:val="000000"/>
          <w:sz w:val="22"/>
          <w:szCs w:val="22"/>
        </w:rPr>
      </w:pPr>
    </w:p>
    <w:p w:rsidR="002301E3" w:rsidRPr="00AF3461" w:rsidRDefault="002301E3">
      <w:pPr>
        <w:tabs>
          <w:tab w:val="left" w:pos="709"/>
        </w:tabs>
        <w:rPr>
          <w:b/>
          <w:color w:val="000000"/>
          <w:sz w:val="22"/>
          <w:szCs w:val="22"/>
        </w:rPr>
      </w:pPr>
      <w:r w:rsidRPr="00AF3461">
        <w:rPr>
          <w:b/>
          <w:color w:val="000000"/>
          <w:sz w:val="22"/>
          <w:szCs w:val="22"/>
        </w:rPr>
        <w:t>III. UVJETI ZA IZBOR NAJPOVOLJNIJE PONUDE</w:t>
      </w:r>
    </w:p>
    <w:p w:rsidR="002301E3" w:rsidRPr="00AF3461" w:rsidRDefault="002301E3">
      <w:pPr>
        <w:rPr>
          <w:color w:val="000000"/>
          <w:sz w:val="22"/>
          <w:szCs w:val="22"/>
        </w:rPr>
      </w:pPr>
      <w:r w:rsidRPr="00AF3461">
        <w:rPr>
          <w:color w:val="000000"/>
          <w:sz w:val="22"/>
          <w:szCs w:val="22"/>
        </w:rPr>
        <w:tab/>
        <w:t xml:space="preserve">Najpovoljnija ponuda je ponuda sa najvišom ponuđenom cijenom po hektaru u kunama. </w:t>
      </w:r>
      <w:r w:rsidRPr="00AF3461">
        <w:rPr>
          <w:color w:val="000000"/>
          <w:sz w:val="22"/>
          <w:szCs w:val="22"/>
        </w:rPr>
        <w:br/>
      </w:r>
      <w:r w:rsidRPr="00AF3461">
        <w:rPr>
          <w:color w:val="000000"/>
          <w:sz w:val="22"/>
          <w:szCs w:val="22"/>
        </w:rPr>
        <w:tab/>
        <w:t>Odabrani ponuditelj dužan je u roku od 10 dana od održavanja javnog nadmetanja sa Općinom Orehovica sklopiti Ugovor o zakupu .</w:t>
      </w:r>
    </w:p>
    <w:p w:rsidR="002301E3" w:rsidRPr="00AF3461" w:rsidRDefault="002301E3">
      <w:pPr>
        <w:rPr>
          <w:color w:val="000000"/>
          <w:sz w:val="22"/>
          <w:szCs w:val="22"/>
        </w:rPr>
      </w:pPr>
    </w:p>
    <w:p w:rsidR="002301E3" w:rsidRPr="00AF3461" w:rsidRDefault="002301E3">
      <w:pPr>
        <w:rPr>
          <w:b/>
          <w:bCs/>
          <w:color w:val="000000"/>
          <w:sz w:val="22"/>
          <w:szCs w:val="22"/>
        </w:rPr>
      </w:pPr>
      <w:r w:rsidRPr="00AF3461">
        <w:rPr>
          <w:b/>
          <w:bCs/>
          <w:color w:val="000000"/>
          <w:sz w:val="22"/>
          <w:szCs w:val="22"/>
        </w:rPr>
        <w:t>IV. UVJETI UGOVORA O ZAKUPU</w:t>
      </w:r>
    </w:p>
    <w:p w:rsidR="002301E3" w:rsidRPr="00AF3461" w:rsidRDefault="002301E3">
      <w:pPr>
        <w:rPr>
          <w:color w:val="000000"/>
          <w:sz w:val="22"/>
          <w:szCs w:val="22"/>
        </w:rPr>
      </w:pPr>
      <w:r w:rsidRPr="00AF3461">
        <w:rPr>
          <w:color w:val="000000"/>
          <w:sz w:val="22"/>
          <w:szCs w:val="22"/>
        </w:rPr>
        <w:tab/>
        <w:t>Ugovor o zakupu sklapa se na godinu dana.</w:t>
      </w:r>
    </w:p>
    <w:p w:rsidR="002301E3" w:rsidRPr="00AF3461" w:rsidRDefault="002301E3">
      <w:pPr>
        <w:rPr>
          <w:color w:val="000000"/>
          <w:sz w:val="22"/>
          <w:szCs w:val="22"/>
        </w:rPr>
      </w:pPr>
      <w:r w:rsidRPr="00AF3461">
        <w:rPr>
          <w:color w:val="000000"/>
          <w:sz w:val="22"/>
          <w:szCs w:val="22"/>
        </w:rPr>
        <w:tab/>
        <w:t>Ukoliko nakon isteka roka iz prethodnog stavka na zemljištu u zakupu ne započne postupak privođenja predmetnog zemljišta namjeni predviđenoj Prostornim planom uređenja Općine Orehovica te Detaljnim planom uređenja zone Križopotje, ugovor o zakupu može se produljiti pisanim aneksom na još godinu dana sa istim zakupcem.</w:t>
      </w:r>
    </w:p>
    <w:p w:rsidR="002301E3" w:rsidRPr="00AF3461" w:rsidRDefault="002301E3">
      <w:pPr>
        <w:rPr>
          <w:color w:val="000000"/>
          <w:sz w:val="22"/>
          <w:szCs w:val="22"/>
        </w:rPr>
      </w:pPr>
      <w:r w:rsidRPr="00AF3461">
        <w:rPr>
          <w:color w:val="000000"/>
          <w:sz w:val="22"/>
          <w:szCs w:val="22"/>
        </w:rPr>
        <w:tab/>
        <w:t>Ukoliko ni nakon dvije godine nakon potpisa ugovora o zakupu  ne započne postupak privođenja predmetnog zemljišta namjeni predviđenoj Prostornim planom uređenja Općine Orehovica  te Detaljnim planom uređenja zone Križopotje, Općinski načelnik raspisati će novi natječaj za zakup prema uvjetima iz ove odluke.</w:t>
      </w:r>
    </w:p>
    <w:p w:rsidR="002301E3" w:rsidRPr="00AF3461" w:rsidRDefault="002301E3">
      <w:pPr>
        <w:rPr>
          <w:color w:val="000000"/>
          <w:sz w:val="22"/>
          <w:szCs w:val="22"/>
        </w:rPr>
      </w:pPr>
      <w:r w:rsidRPr="00AF3461">
        <w:rPr>
          <w:color w:val="000000"/>
          <w:sz w:val="22"/>
          <w:szCs w:val="22"/>
        </w:rPr>
        <w:tab/>
        <w:t xml:space="preserve">Ukoliko će se </w:t>
      </w:r>
      <w:proofErr w:type="spellStart"/>
      <w:r w:rsidRPr="00AF3461">
        <w:rPr>
          <w:color w:val="000000"/>
          <w:sz w:val="22"/>
          <w:szCs w:val="22"/>
        </w:rPr>
        <w:t>zemljiše</w:t>
      </w:r>
      <w:proofErr w:type="spellEnd"/>
      <w:r w:rsidRPr="00AF3461">
        <w:rPr>
          <w:color w:val="000000"/>
          <w:sz w:val="22"/>
          <w:szCs w:val="22"/>
        </w:rPr>
        <w:t xml:space="preserve"> u zakupu privesti namjeni prije isteka roka od dvije godine od dana sklapanja ugovora o zakupu, zakupac je dužan skinuti usjeve sa površine u zakupu bez prava na obeštećenje na ime nastale štete.</w:t>
      </w:r>
    </w:p>
    <w:p w:rsidR="002301E3" w:rsidRPr="00AF3461" w:rsidRDefault="002301E3">
      <w:pPr>
        <w:rPr>
          <w:color w:val="000000"/>
          <w:sz w:val="22"/>
          <w:szCs w:val="22"/>
        </w:rPr>
      </w:pPr>
      <w:r w:rsidRPr="00AF3461">
        <w:rPr>
          <w:color w:val="000000"/>
          <w:sz w:val="22"/>
          <w:szCs w:val="22"/>
        </w:rPr>
        <w:tab/>
        <w:t>Na zemljištu u zakupu zakupac ne smije podizati trajne nasade niti graditi građevine.</w:t>
      </w:r>
    </w:p>
    <w:p w:rsidR="002301E3" w:rsidRPr="00AF3461" w:rsidRDefault="002301E3">
      <w:pPr>
        <w:rPr>
          <w:color w:val="000000"/>
          <w:sz w:val="22"/>
          <w:szCs w:val="22"/>
        </w:rPr>
      </w:pPr>
      <w:r w:rsidRPr="00AF3461">
        <w:rPr>
          <w:color w:val="000000"/>
          <w:sz w:val="22"/>
          <w:szCs w:val="22"/>
        </w:rPr>
        <w:tab/>
        <w:t>Zemljište u zakupu ne može se dati u podzakup.</w:t>
      </w:r>
    </w:p>
    <w:p w:rsidR="002301E3" w:rsidRPr="00AF3461" w:rsidRDefault="002301E3">
      <w:pPr>
        <w:rPr>
          <w:sz w:val="22"/>
          <w:szCs w:val="22"/>
        </w:rPr>
      </w:pPr>
    </w:p>
    <w:p w:rsidR="002301E3" w:rsidRPr="00AF3461" w:rsidRDefault="002301E3">
      <w:pPr>
        <w:rPr>
          <w:b/>
          <w:sz w:val="22"/>
          <w:szCs w:val="22"/>
        </w:rPr>
      </w:pPr>
      <w:r w:rsidRPr="00AF3461">
        <w:rPr>
          <w:b/>
          <w:sz w:val="22"/>
          <w:szCs w:val="22"/>
        </w:rPr>
        <w:t>V.  PONIŠTENJE NATJEČAJA</w:t>
      </w:r>
    </w:p>
    <w:p w:rsidR="002301E3" w:rsidRPr="00AF3461" w:rsidRDefault="002301E3">
      <w:pPr>
        <w:rPr>
          <w:sz w:val="22"/>
          <w:szCs w:val="22"/>
        </w:rPr>
      </w:pPr>
      <w:r w:rsidRPr="00AF3461">
        <w:rPr>
          <w:sz w:val="22"/>
          <w:szCs w:val="22"/>
        </w:rPr>
        <w:tab/>
        <w:t xml:space="preserve">Vlasnik zadržava pravo poništenja natječaja, a nije obvezan prihvatiti niti jednu pristiglu ponudu u kojem slučaju ne odgovara za eventualnu štetu ponuditelja. </w:t>
      </w:r>
    </w:p>
    <w:p w:rsidR="002301E3" w:rsidRPr="00AF3461" w:rsidRDefault="002301E3">
      <w:pPr>
        <w:rPr>
          <w:sz w:val="22"/>
          <w:szCs w:val="22"/>
        </w:rPr>
      </w:pPr>
    </w:p>
    <w:p w:rsidR="002301E3" w:rsidRPr="00AF3461" w:rsidRDefault="002301E3">
      <w:pPr>
        <w:rPr>
          <w:b/>
          <w:sz w:val="22"/>
          <w:szCs w:val="22"/>
        </w:rPr>
      </w:pPr>
      <w:r w:rsidRPr="00AF3461">
        <w:rPr>
          <w:b/>
          <w:sz w:val="22"/>
          <w:szCs w:val="22"/>
        </w:rPr>
        <w:t>VI. DODATNE INFORMACIJE</w:t>
      </w:r>
    </w:p>
    <w:p w:rsidR="002301E3" w:rsidRPr="00AF3461" w:rsidRDefault="002301E3">
      <w:pPr>
        <w:rPr>
          <w:sz w:val="22"/>
          <w:szCs w:val="22"/>
        </w:rPr>
      </w:pPr>
      <w:r w:rsidRPr="00AF3461">
        <w:rPr>
          <w:sz w:val="22"/>
          <w:szCs w:val="22"/>
        </w:rPr>
        <w:tab/>
        <w:t xml:space="preserve">Zainteresirani ponuditelji mogu dobiti dodatne informacije u svezi nadmetanja na telefon 040/635-275 te </w:t>
      </w:r>
      <w:r w:rsidR="00CD52E7" w:rsidRPr="00AF3461">
        <w:rPr>
          <w:sz w:val="22"/>
          <w:szCs w:val="22"/>
        </w:rPr>
        <w:t>e-</w:t>
      </w:r>
      <w:r w:rsidRPr="00AF3461">
        <w:rPr>
          <w:sz w:val="22"/>
          <w:szCs w:val="22"/>
        </w:rPr>
        <w:t xml:space="preserve">mail </w:t>
      </w:r>
      <w:hyperlink r:id="rId6" w:history="1">
        <w:r w:rsidRPr="00AF3461">
          <w:rPr>
            <w:rStyle w:val="Hyperlink"/>
            <w:sz w:val="22"/>
            <w:szCs w:val="22"/>
          </w:rPr>
          <w:t>opcina-orehovica@ck.t-com.hr</w:t>
        </w:r>
      </w:hyperlink>
      <w:r w:rsidRPr="00AF3461">
        <w:rPr>
          <w:sz w:val="22"/>
          <w:szCs w:val="22"/>
        </w:rPr>
        <w:t xml:space="preserve"> , kao i dogovoriti razgledanje nekretnine.</w:t>
      </w:r>
    </w:p>
    <w:p w:rsidR="002301E3" w:rsidRPr="00AF3461" w:rsidRDefault="002301E3">
      <w:pPr>
        <w:rPr>
          <w:sz w:val="22"/>
          <w:szCs w:val="22"/>
        </w:rPr>
      </w:pPr>
    </w:p>
    <w:p w:rsidR="002301E3" w:rsidRPr="00AF3461" w:rsidRDefault="002301E3">
      <w:pPr>
        <w:ind w:left="2832"/>
        <w:jc w:val="center"/>
        <w:rPr>
          <w:b/>
          <w:sz w:val="22"/>
          <w:szCs w:val="22"/>
        </w:rPr>
      </w:pPr>
      <w:r w:rsidRPr="00AF3461">
        <w:rPr>
          <w:b/>
          <w:sz w:val="22"/>
          <w:szCs w:val="22"/>
        </w:rPr>
        <w:t>Općinski načelnik Općine Orehovica</w:t>
      </w:r>
    </w:p>
    <w:p w:rsidR="002301E3" w:rsidRPr="00AF3461" w:rsidRDefault="002301E3">
      <w:pPr>
        <w:ind w:left="2832"/>
        <w:jc w:val="center"/>
        <w:rPr>
          <w:color w:val="000000"/>
          <w:sz w:val="22"/>
          <w:szCs w:val="22"/>
        </w:rPr>
      </w:pPr>
      <w:r w:rsidRPr="00AF3461">
        <w:rPr>
          <w:color w:val="000000"/>
          <w:sz w:val="22"/>
          <w:szCs w:val="22"/>
        </w:rPr>
        <w:t xml:space="preserve">Franjo Bukal </w:t>
      </w:r>
    </w:p>
    <w:p w:rsidR="002301E3" w:rsidRPr="00AF3461" w:rsidRDefault="002301E3">
      <w:pPr>
        <w:rPr>
          <w:sz w:val="22"/>
          <w:szCs w:val="22"/>
        </w:rPr>
      </w:pPr>
    </w:p>
    <w:p w:rsidR="002301E3" w:rsidRPr="00AF3461" w:rsidRDefault="002301E3"/>
    <w:sectPr w:rsidR="002301E3" w:rsidRPr="00AF3461" w:rsidSect="00AF3461">
      <w:pgSz w:w="11906" w:h="16838"/>
      <w:pgMar w:top="1276" w:right="567" w:bottom="141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2A"/>
    <w:rsid w:val="001618A4"/>
    <w:rsid w:val="001650E1"/>
    <w:rsid w:val="002301E3"/>
    <w:rsid w:val="003C7596"/>
    <w:rsid w:val="00717190"/>
    <w:rsid w:val="00726F89"/>
    <w:rsid w:val="00973B5F"/>
    <w:rsid w:val="00AF3461"/>
    <w:rsid w:val="00CD52E7"/>
    <w:rsid w:val="00DB4666"/>
    <w:rsid w:val="00E24A2A"/>
    <w:rsid w:val="00F37EDF"/>
    <w:rsid w:val="00F75138"/>
    <w:rsid w:val="00F94384"/>
    <w:rsid w:val="00FF6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07642F8"/>
  <w15:chartTrackingRefBased/>
  <w15:docId w15:val="{04520575-71E3-4E14-8D9B-350AB1BB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Ari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Zadanifontodlomka2">
    <w:name w:val="Zadani font odlomka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Zadanifontodlomka1">
    <w:name w:val="Zadani font odlomka1"/>
  </w:style>
  <w:style w:type="character" w:styleId="Strong">
    <w:name w:val="Strong"/>
    <w:qFormat/>
    <w:rPr>
      <w:b/>
      <w:bCs/>
    </w:rPr>
  </w:style>
  <w:style w:type="character" w:styleId="Hyperlink">
    <w:name w:val="Hyperlink"/>
    <w:rPr>
      <w:color w:val="0000FF"/>
      <w:u w:val="single"/>
    </w:rPr>
  </w:style>
  <w:style w:type="character" w:customStyle="1" w:styleId="Simbolinumeriranja">
    <w:name w:val="Simboli numeriranja"/>
  </w:style>
  <w:style w:type="paragraph" w:customStyle="1" w:styleId="Naslov2">
    <w:name w:val="Naslov2"/>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Opis">
    <w:name w:val="Opis"/>
    <w:basedOn w:val="Normal"/>
    <w:pPr>
      <w:suppressLineNumbers/>
      <w:spacing w:before="120" w:after="120"/>
    </w:pPr>
    <w:rPr>
      <w:i/>
      <w:iCs/>
    </w:rPr>
  </w:style>
  <w:style w:type="paragraph" w:customStyle="1" w:styleId="Indeks">
    <w:name w:val="Indeks"/>
    <w:basedOn w:val="Normal"/>
    <w:pPr>
      <w:suppressLineNumbers/>
    </w:pPr>
  </w:style>
  <w:style w:type="paragraph" w:customStyle="1" w:styleId="Naslov1">
    <w:name w:val="Naslov1"/>
    <w:basedOn w:val="Normal"/>
    <w:next w:val="BodyText"/>
    <w:pPr>
      <w:keepNext/>
      <w:spacing w:before="240" w:after="120"/>
    </w:pPr>
    <w:rPr>
      <w:rFonts w:ascii="Arial" w:hAnsi="Arial"/>
      <w:sz w:val="28"/>
      <w:szCs w:val="28"/>
    </w:rPr>
  </w:style>
  <w:style w:type="paragraph" w:customStyle="1" w:styleId="Sadrajitablice">
    <w:name w:val="Sadržaji tablice"/>
    <w:basedOn w:val="Normal"/>
    <w:pPr>
      <w:suppressLineNumbers/>
    </w:pPr>
  </w:style>
  <w:style w:type="paragraph" w:styleId="ListParagraph">
    <w:name w:val="List Paragraph"/>
    <w:basedOn w:val="Normal"/>
    <w:qFormat/>
    <w:pPr>
      <w:ind w:left="720"/>
    </w:pPr>
    <w:rPr>
      <w:rFonts w:ascii="Calibri" w:eastAsia="Calibri" w:hAnsi="Calibri" w:cs="Times New Roman"/>
    </w:rPr>
  </w:style>
  <w:style w:type="paragraph" w:customStyle="1" w:styleId="Naslovtablice">
    <w:name w:val="Naslov tablice"/>
    <w:basedOn w:val="Sadrajitablice"/>
    <w:pPr>
      <w:jc w:val="center"/>
    </w:pPr>
    <w:rPr>
      <w:b/>
      <w:bCs/>
    </w:rPr>
  </w:style>
  <w:style w:type="paragraph" w:customStyle="1" w:styleId="Sadrajokvira">
    <w:name w:val="Sadržaj okvira"/>
    <w:basedOn w:val="BodyText"/>
  </w:style>
  <w:style w:type="paragraph" w:customStyle="1" w:styleId="ListParagraph1">
    <w:name w:val="List Paragraph1"/>
    <w:basedOn w:val="Normal"/>
    <w:pPr>
      <w:ind w:left="720"/>
    </w:pPr>
  </w:style>
  <w:style w:type="paragraph" w:styleId="BalloonText">
    <w:name w:val="Balloon Text"/>
    <w:basedOn w:val="Normal"/>
    <w:link w:val="BalloonTextChar"/>
    <w:uiPriority w:val="99"/>
    <w:semiHidden/>
    <w:unhideWhenUsed/>
    <w:rsid w:val="001650E1"/>
    <w:rPr>
      <w:rFonts w:ascii="Segoe UI" w:hAnsi="Segoe UI" w:cs="Mangal"/>
      <w:sz w:val="18"/>
      <w:szCs w:val="16"/>
    </w:rPr>
  </w:style>
  <w:style w:type="character" w:customStyle="1" w:styleId="BalloonTextChar">
    <w:name w:val="Balloon Text Char"/>
    <w:link w:val="BalloonText"/>
    <w:uiPriority w:val="99"/>
    <w:semiHidden/>
    <w:rsid w:val="001650E1"/>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orehovica@ck.t-com.hr" TargetMode="External"/><Relationship Id="rId5" Type="http://schemas.openxmlformats.org/officeDocument/2006/relationships/hyperlink" Target="http://www.orehovic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4736</CharactersWithSpaces>
  <SharedDoc>false</SharedDoc>
  <HLinks>
    <vt:vector size="12" baseType="variant">
      <vt:variant>
        <vt:i4>1769598</vt:i4>
      </vt:variant>
      <vt:variant>
        <vt:i4>3</vt:i4>
      </vt:variant>
      <vt:variant>
        <vt:i4>0</vt:i4>
      </vt:variant>
      <vt:variant>
        <vt:i4>5</vt:i4>
      </vt:variant>
      <vt:variant>
        <vt:lpwstr>mailto:opcina-orehovica@ck.t-com.hr</vt:lpwstr>
      </vt:variant>
      <vt:variant>
        <vt:lpwstr/>
      </vt:variant>
      <vt:variant>
        <vt:i4>65539</vt:i4>
      </vt:variant>
      <vt:variant>
        <vt:i4>0</vt:i4>
      </vt:variant>
      <vt:variant>
        <vt:i4>0</vt:i4>
      </vt:variant>
      <vt:variant>
        <vt:i4>5</vt:i4>
      </vt:variant>
      <vt:variant>
        <vt:lpwstr>http://www.orehovica.hr/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cp:lastModifiedBy>Robert Poljak</cp:lastModifiedBy>
  <cp:revision>2</cp:revision>
  <cp:lastPrinted>2017-12-29T07:33:00Z</cp:lastPrinted>
  <dcterms:created xsi:type="dcterms:W3CDTF">2018-01-01T09:34:00Z</dcterms:created>
  <dcterms:modified xsi:type="dcterms:W3CDTF">2018-01-01T09:34:00Z</dcterms:modified>
</cp:coreProperties>
</file>